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color w:val="000000"/>
          <w:sz w:val="36"/>
          <w:szCs w:val="36"/>
        </w:rPr>
        <w:t>2023年度广东省商标代理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合规</w:t>
      </w:r>
      <w:r>
        <w:rPr>
          <w:rFonts w:hint="eastAsia" w:ascii="宋体" w:hAnsi="宋体"/>
          <w:bCs/>
          <w:color w:val="000000"/>
          <w:sz w:val="36"/>
          <w:szCs w:val="36"/>
        </w:rPr>
        <w:t>实务典型</w:t>
      </w:r>
    </w:p>
    <w:p>
      <w:pPr>
        <w:jc w:val="center"/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案例分析报告（样例）</w:t>
      </w:r>
    </w:p>
    <w:p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【基本案情】</w:t>
      </w:r>
    </w:p>
    <w:p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【法律分析】</w:t>
      </w:r>
    </w:p>
    <w:p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【代理建议】</w:t>
      </w:r>
    </w:p>
    <w:p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both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【代理结果】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710AD0-0B24-45A2-B1FD-68C1BC46C2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9C10BE-7DF2-4DE9-BC7E-F0B13704AD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70280604"/>
    <w:rsid w:val="70280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2023-11-13T10:34:00Z</dcterms:created>
  <dc:creator>WPS_gdsbxh</dc:creator>
  <cp:lastModifiedBy>WPS_gdsbxh</cp:lastModifiedBy>
  <dcterms:modified xsi:type="dcterms:W3CDTF">2023-11-13T10:35:41Z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0CE8753B16E94741AF4F9010AF3E685C_11</vt:lpwstr>
  </property>
</Properties>
</file>