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Cs/>
          <w:color w:val="000000"/>
          <w:sz w:val="36"/>
          <w:szCs w:val="36"/>
        </w:rPr>
        <w:t>2023年度广东省商标代理</w:t>
      </w:r>
      <w:r>
        <w:rPr>
          <w:rFonts w:hint="eastAsia" w:ascii="宋体" w:hAnsi="宋体"/>
          <w:bCs/>
          <w:color w:val="000000"/>
          <w:sz w:val="36"/>
          <w:szCs w:val="36"/>
          <w:lang w:val="en-US" w:eastAsia="zh-CN"/>
        </w:rPr>
        <w:t>合规实务</w:t>
      </w:r>
      <w:r>
        <w:rPr>
          <w:rFonts w:hint="eastAsia" w:ascii="宋体" w:hAnsi="宋体"/>
          <w:bCs/>
          <w:color w:val="000000"/>
          <w:sz w:val="36"/>
          <w:szCs w:val="36"/>
        </w:rPr>
        <w:t>典型案例申报表</w:t>
      </w:r>
    </w:p>
    <w:tbl>
      <w:tblPr>
        <w:tblStyle w:val="2"/>
        <w:tblpPr w:leftFromText="180" w:rightFromText="180" w:vertAnchor="text" w:horzAnchor="page" w:tblpX="1841" w:tblpY="640"/>
        <w:tblOverlap w:val="never"/>
        <w:tblW w:w="8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"/>
        <w:gridCol w:w="1270"/>
        <w:gridCol w:w="2123"/>
        <w:gridCol w:w="173"/>
        <w:gridCol w:w="1220"/>
        <w:gridCol w:w="32"/>
        <w:gridCol w:w="1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所在单位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电子邮件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64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联系地址：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案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由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事 由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4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代理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结果</w:t>
            </w:r>
          </w:p>
        </w:tc>
        <w:tc>
          <w:tcPr>
            <w:tcW w:w="6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当事人</w:t>
            </w:r>
          </w:p>
        </w:tc>
        <w:tc>
          <w:tcPr>
            <w:tcW w:w="6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代理方</w:t>
            </w:r>
          </w:p>
        </w:tc>
        <w:tc>
          <w:tcPr>
            <w:tcW w:w="64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生效文书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（案号及名称）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生效时间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*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生效法律文书出具机关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*</w:t>
            </w:r>
          </w:p>
        </w:tc>
        <w:tc>
          <w:tcPr>
            <w:tcW w:w="64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典型性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简要描述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64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auto"/>
              <w:ind w:left="0" w:right="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1.影响力。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auto"/>
              <w:ind w:left="0" w:right="0" w:firstLine="4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2.专业性。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auto"/>
              <w:ind w:left="0" w:right="0" w:firstLine="4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3.导向性。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申报人声明</w:t>
            </w:r>
          </w:p>
        </w:tc>
        <w:tc>
          <w:tcPr>
            <w:tcW w:w="64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本人保证申报材料的真实性，同意该案例内容和分析报告予以公开发布，并自行承担相应责任。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申报人（签字）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核实并盖章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64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2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2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8" w:hRule="atLeast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right"/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  <w:t xml:space="preserve">                          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right"/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</w:pP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 xml:space="preserve">   单位（盖章）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  <w:t xml:space="preserve">                           </w:t>
                  </w: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>年</w:t>
                  </w:r>
                  <w:r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>月</w:t>
                  </w:r>
                  <w:r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>日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Cs/>
          <w:color w:val="000000"/>
          <w:sz w:val="36"/>
          <w:szCs w:val="36"/>
        </w:rPr>
      </w:pPr>
      <w:r>
        <w:rPr>
          <w:rFonts w:hint="eastAsia" w:ascii="宋体" w:hAnsi="宋体"/>
          <w:bCs/>
          <w:color w:val="000000"/>
          <w:sz w:val="36"/>
          <w:szCs w:val="36"/>
        </w:rPr>
        <w:t>2023年度广东省商标代理</w:t>
      </w:r>
      <w:r>
        <w:rPr>
          <w:rFonts w:hint="eastAsia" w:ascii="宋体" w:hAnsi="宋体"/>
          <w:bCs/>
          <w:color w:val="000000"/>
          <w:sz w:val="36"/>
          <w:szCs w:val="36"/>
          <w:lang w:val="en-US" w:eastAsia="zh-CN"/>
        </w:rPr>
        <w:t>合规实务</w:t>
      </w:r>
      <w:r>
        <w:rPr>
          <w:rFonts w:hint="eastAsia" w:ascii="宋体" w:hAnsi="宋体"/>
          <w:bCs/>
          <w:color w:val="000000"/>
          <w:sz w:val="36"/>
          <w:szCs w:val="36"/>
        </w:rPr>
        <w:t>典型案例申报表</w:t>
      </w:r>
    </w:p>
    <w:p/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仿宋" w:hAnsi="仿宋" w:eastAsia="仿宋"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lang w:val="en-US" w:eastAsia="zh-CN"/>
        </w:rPr>
        <w:t>标*字符的部分，代理业务为商标境内、境外战略规划的可不填写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I4N2E4MGZmYjJjZjI5NWVkZDZlMDBkZTAxNGYifQ=="/>
  </w:docVars>
  <w:rsids>
    <w:rsidRoot w:val="79554BDD"/>
    <w:rsid w:val="79554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2023-11-13T10:33:00Z</dcterms:created>
  <dc:creator>WPS_gdsbxh</dc:creator>
  <cp:lastModifiedBy>WPS_gdsbxh</cp:lastModifiedBy>
  <dcterms:modified xsi:type="dcterms:W3CDTF">2023-11-13T10:33:55Z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D45D3821172946F381806EA991CAE9C8_11</vt:lpwstr>
  </property>
</Properties>
</file>